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948"/>
          <w:tab w:val="center" w:pos="7223"/>
        </w:tabs>
        <w:spacing w:after="563" w:line="259" w:lineRule="auto"/>
        <w:ind w:left="0" w:firstLine="0"/>
        <w:jc w:val="left"/>
        <w:rPr/>
      </w:pPr>
      <w:bookmarkStart w:colFirst="0" w:colLast="0" w:name="_heading=h.gjdgxs" w:id="0"/>
      <w:bookmarkEnd w:id="0"/>
      <w:r w:rsidDel="00000000" w:rsidR="00000000" w:rsidRPr="00000000">
        <w:rPr>
          <w:b w:val="1"/>
          <w:sz w:val="32"/>
          <w:szCs w:val="32"/>
          <w:rtl w:val="0"/>
        </w:rPr>
        <w:t xml:space="preserve">2019</w:t>
      </w:r>
      <w:r w:rsidDel="00000000" w:rsidR="00000000" w:rsidRPr="00000000">
        <w:rPr>
          <w:rtl w:val="0"/>
        </w:rPr>
        <w:t xml:space="preserve"> 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32"/>
              <w:szCs w:val="32"/>
              <w:rtl w:val="0"/>
            </w:rPr>
            <w:tab/>
            <w:t xml:space="preserve">ITTF 帕拉積分系統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5"/>
        <w:rPr/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選手的積分是一個數字，代表在其比賽級別中與其他已有積分選手分數的比較值。選手的積分會視其自身及與對手相較之積分差異而更動。</w:t>
          </w:r>
        </w:sdtContent>
      </w:sdt>
    </w:p>
    <w:p w:rsidR="00000000" w:rsidDel="00000000" w:rsidP="00000000" w:rsidRDefault="00000000" w:rsidRPr="00000000" w14:paraId="00000003">
      <w:pPr>
        <w:ind w:left="-5"/>
        <w:rPr/>
      </w:pP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選手的積分只有一個，因此任何積分表上的分數都應相同。</w:t>
          </w:r>
        </w:sdtContent>
      </w:sdt>
    </w:p>
    <w:p w:rsidR="00000000" w:rsidDel="00000000" w:rsidP="00000000" w:rsidRDefault="00000000" w:rsidRPr="00000000" w14:paraId="00000004">
      <w:pPr>
        <w:ind w:left="-5"/>
        <w:rPr/>
      </w:pP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計算方式定義如下表：</w:t>
          </w:r>
        </w:sdtContent>
      </w:sdt>
    </w:p>
    <w:p w:rsidR="00000000" w:rsidDel="00000000" w:rsidP="00000000" w:rsidRDefault="00000000" w:rsidRPr="00000000" w14:paraId="00000005">
      <w:pPr>
        <w:spacing w:after="0" w:line="259" w:lineRule="auto"/>
        <w:ind w:left="-5"/>
        <w:jc w:val="left"/>
        <w:rPr/>
      </w:pP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rtl w:val="0"/>
            </w:rPr>
            <w:t xml:space="preserve">積分更動表：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1"/>
        <w:tblW w:w="5771.0" w:type="dxa"/>
        <w:jc w:val="left"/>
        <w:tblInd w:w="462.0" w:type="dxa"/>
        <w:tblLayout w:type="fixed"/>
        <w:tblLook w:val="0400"/>
      </w:tblPr>
      <w:tblGrid>
        <w:gridCol w:w="2299"/>
        <w:gridCol w:w="2054"/>
        <w:gridCol w:w="1418"/>
        <w:tblGridChange w:id="0">
          <w:tblGrid>
            <w:gridCol w:w="2299"/>
            <w:gridCol w:w="2054"/>
            <w:gridCol w:w="1418"/>
          </w:tblGrid>
        </w:tblGridChange>
      </w:tblGrid>
      <w:tr>
        <w:trPr>
          <w:trHeight w:val="560" w:hRule="atLeast"/>
        </w:trPr>
        <w:tc>
          <w:tcPr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0000" w:val="clear"/>
          </w:tcPr>
          <w:p w:rsidR="00000000" w:rsidDel="00000000" w:rsidP="00000000" w:rsidRDefault="00000000" w:rsidRPr="00000000" w14:paraId="00000006">
            <w:pPr>
              <w:spacing w:after="0" w:line="259" w:lineRule="auto"/>
              <w:ind w:left="258" w:firstLine="202"/>
              <w:jc w:val="left"/>
              <w:rPr/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ffffff"/>
                    <w:rtl w:val="0"/>
                  </w:rPr>
                  <w:t xml:space="preserve">積分差異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0000" w:val="clear"/>
          </w:tcPr>
          <w:p w:rsidR="00000000" w:rsidDel="00000000" w:rsidP="00000000" w:rsidRDefault="00000000" w:rsidRPr="00000000" w14:paraId="00000007">
            <w:pPr>
              <w:spacing w:after="0" w:line="259" w:lineRule="auto"/>
              <w:ind w:left="0" w:firstLine="86"/>
              <w:jc w:val="left"/>
              <w:rPr/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ffffff"/>
                    <w:rtl w:val="0"/>
                  </w:rPr>
                  <w:t xml:space="preserve">正常結果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12" w:val="single"/>
            </w:tcBorders>
            <w:shd w:fill="000000" w:val="clear"/>
          </w:tcPr>
          <w:p w:rsidR="00000000" w:rsidDel="00000000" w:rsidP="00000000" w:rsidRDefault="00000000" w:rsidRPr="00000000" w14:paraId="00000008">
            <w:pPr>
              <w:spacing w:after="0" w:line="259" w:lineRule="auto"/>
              <w:ind w:left="0" w:firstLine="168"/>
              <w:jc w:val="left"/>
              <w:rPr/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ffffff"/>
                    <w:rtl w:val="0"/>
                  </w:rPr>
                  <w:t xml:space="preserve">相反結果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9">
            <w:pPr>
              <w:spacing w:after="0" w:line="259" w:lineRule="auto"/>
              <w:ind w:left="63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&lt;25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A">
            <w:pPr>
              <w:spacing w:after="0" w:line="259" w:lineRule="auto"/>
              <w:ind w:left="432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0B">
            <w:pPr>
              <w:spacing w:after="0" w:line="259" w:lineRule="auto"/>
              <w:ind w:left="434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spacing w:after="0" w:line="259" w:lineRule="auto"/>
              <w:ind w:left="63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&lt;50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spacing w:after="0" w:line="259" w:lineRule="auto"/>
              <w:ind w:left="432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0E">
            <w:pPr>
              <w:spacing w:after="0" w:line="259" w:lineRule="auto"/>
              <w:ind w:left="367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spacing w:after="0" w:line="259" w:lineRule="auto"/>
              <w:ind w:left="563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&lt;100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spacing w:after="0" w:line="259" w:lineRule="auto"/>
              <w:ind w:left="432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11">
            <w:pPr>
              <w:spacing w:after="0" w:line="259" w:lineRule="auto"/>
              <w:ind w:left="367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spacing w:after="0" w:line="259" w:lineRule="auto"/>
              <w:ind w:left="563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&lt;150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3">
            <w:pPr>
              <w:spacing w:after="0" w:line="259" w:lineRule="auto"/>
              <w:ind w:left="432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14">
            <w:pPr>
              <w:spacing w:after="0" w:line="259" w:lineRule="auto"/>
              <w:ind w:left="367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spacing w:after="0" w:line="259" w:lineRule="auto"/>
              <w:ind w:left="563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&lt;200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spacing w:after="0" w:line="259" w:lineRule="auto"/>
              <w:ind w:left="432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17">
            <w:pPr>
              <w:spacing w:after="0" w:line="259" w:lineRule="auto"/>
              <w:ind w:left="367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spacing w:after="0" w:line="259" w:lineRule="auto"/>
              <w:ind w:left="563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&lt;250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spacing w:after="0" w:line="259" w:lineRule="auto"/>
              <w:ind w:left="432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1A">
            <w:pPr>
              <w:spacing w:after="0" w:line="259" w:lineRule="auto"/>
              <w:ind w:left="367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spacing w:after="0" w:line="259" w:lineRule="auto"/>
              <w:ind w:left="432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D">
            <w:pPr>
              <w:spacing w:after="0" w:line="259" w:lineRule="auto"/>
              <w:ind w:left="367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32</w:t>
            </w:r>
          </w:p>
        </w:tc>
      </w:tr>
    </w:tbl>
    <w:p w:rsidR="00000000" w:rsidDel="00000000" w:rsidP="00000000" w:rsidRDefault="00000000" w:rsidRPr="00000000" w14:paraId="0000001E">
      <w:pPr>
        <w:ind w:left="-5"/>
        <w:rPr/>
      </w:pPr>
      <w:sdt>
        <w:sdtPr>
          <w:tag w:val="goog_rdk_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獲勝者的計分增加會以上表為主（再乘以下方的倍數制定表），而落敗者會依據上方的積分表直接減去分數。</w:t>
          </w:r>
        </w:sdtContent>
      </w:sdt>
    </w:p>
    <w:p w:rsidR="00000000" w:rsidDel="00000000" w:rsidP="00000000" w:rsidRDefault="00000000" w:rsidRPr="00000000" w14:paraId="0000001F">
      <w:pPr>
        <w:spacing w:after="0" w:line="259" w:lineRule="auto"/>
        <w:ind w:left="-5"/>
        <w:jc w:val="left"/>
        <w:rPr/>
      </w:pPr>
      <w:sdt>
        <w:sdtPr>
          <w:tag w:val="goog_rdk_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rtl w:val="0"/>
            </w:rPr>
            <w:t xml:space="preserve">倍數制定表：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2"/>
        <w:tblW w:w="8119.0" w:type="dxa"/>
        <w:jc w:val="left"/>
        <w:tblInd w:w="416.0" w:type="dxa"/>
        <w:tblLayout w:type="fixed"/>
        <w:tblLook w:val="0400"/>
      </w:tblPr>
      <w:tblGrid>
        <w:gridCol w:w="1411"/>
        <w:gridCol w:w="6708"/>
        <w:tblGridChange w:id="0">
          <w:tblGrid>
            <w:gridCol w:w="1411"/>
            <w:gridCol w:w="6708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0000" w:val="clear"/>
          </w:tcPr>
          <w:p w:rsidR="00000000" w:rsidDel="00000000" w:rsidP="00000000" w:rsidRDefault="00000000" w:rsidRPr="00000000" w14:paraId="00000020">
            <w:pPr>
              <w:spacing w:after="0" w:line="259" w:lineRule="auto"/>
              <w:ind w:left="2" w:firstLine="0"/>
              <w:rPr/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ffffff"/>
                    <w:rtl w:val="0"/>
                  </w:rPr>
                  <w:t xml:space="preserve">倍數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0000" w:val="clear"/>
          </w:tcPr>
          <w:p w:rsidR="00000000" w:rsidDel="00000000" w:rsidP="00000000" w:rsidRDefault="00000000" w:rsidRPr="00000000" w14:paraId="00000021">
            <w:pPr>
              <w:spacing w:after="0" w:line="259" w:lineRule="auto"/>
              <w:ind w:left="0" w:firstLine="0"/>
              <w:jc w:val="left"/>
              <w:rPr/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ffffff"/>
                    <w:rtl w:val="0"/>
                  </w:rPr>
                  <w:t xml:space="preserve">項目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spacing w:after="0" w:line="259" w:lineRule="auto"/>
              <w:ind w:left="0" w:right="3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23">
            <w:pPr>
              <w:spacing w:after="0" w:line="259" w:lineRule="auto"/>
              <w:ind w:left="0" w:firstLine="0"/>
              <w:jc w:val="left"/>
              <w:rPr/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Factor 40 及以上的單人項目</w:t>
                </w:r>
              </w:sdtContent>
            </w:sdt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spacing w:after="0" w:line="259" w:lineRule="auto"/>
              <w:ind w:left="0" w:right="3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5">
            <w:pPr>
              <w:spacing w:after="0" w:line="259" w:lineRule="auto"/>
              <w:ind w:left="0" w:firstLine="0"/>
              <w:jc w:val="left"/>
              <w:rPr/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Factor 20 的單人及團體項目</w:t>
                </w:r>
              </w:sdtContent>
            </w:sdt>
          </w:p>
        </w:tc>
      </w:tr>
    </w:tbl>
    <w:p w:rsidR="00000000" w:rsidDel="00000000" w:rsidP="00000000" w:rsidRDefault="00000000" w:rsidRPr="00000000" w14:paraId="00000026">
      <w:pPr>
        <w:ind w:left="-5"/>
        <w:rPr/>
      </w:pPr>
      <w:sdt>
        <w:sdtPr>
          <w:tag w:val="goog_rdk_1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主要項目中，上列倍數僅適用於獲勝者的計分，而落敗者的計分不需再以倍數相乘調整。</w:t>
          </w:r>
        </w:sdtContent>
      </w:sdt>
    </w:p>
    <w:p w:rsidR="00000000" w:rsidDel="00000000" w:rsidP="00000000" w:rsidRDefault="00000000" w:rsidRPr="00000000" w14:paraId="00000027">
      <w:pPr>
        <w:ind w:left="-5"/>
        <w:rPr/>
      </w:pPr>
      <w:sdt>
        <w:sdtPr>
          <w:tag w:val="goog_rdk_1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單人項目的所有結果將被列入計算。雙人項目結果則不列入。雙方選手皆出自同國家協會時，則採用特殊計分：</w:t>
          </w:r>
        </w:sdtContent>
      </w:sdt>
    </w:p>
    <w:p w:rsidR="00000000" w:rsidDel="00000000" w:rsidP="00000000" w:rsidRDefault="00000000" w:rsidRPr="00000000" w14:paraId="00000028">
      <w:pPr>
        <w:spacing w:after="293" w:line="310" w:lineRule="auto"/>
        <w:ind w:left="1090" w:right="6681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 </w:t>
      </w:r>
      <w:sdt>
        <w:sdtPr>
          <w:tag w:val="goog_rdk_1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獲勝者 +1 分 </w:t>
          </w:r>
        </w:sdtContent>
      </w:sdt>
    </w:p>
    <w:p w:rsidR="00000000" w:rsidDel="00000000" w:rsidP="00000000" w:rsidRDefault="00000000" w:rsidRPr="00000000" w14:paraId="00000029">
      <w:pPr>
        <w:spacing w:after="293" w:line="310" w:lineRule="auto"/>
        <w:ind w:left="0" w:right="6681" w:firstLine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 </w:t>
      </w:r>
      <w:sdt>
        <w:sdtPr>
          <w:tag w:val="goog_rdk_1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落敗者 -1 分</w:t>
          </w:r>
        </w:sdtContent>
      </w:sdt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283" w:hanging="283"/>
        <w:rPr/>
      </w:pPr>
      <w:sdt>
        <w:sdtPr>
          <w:tag w:val="goog_rdk_1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給予個人項目奪牌者的額外分數如下：金牌 9、銀牌 6、銅牌 3。新進/無積分之選手也會獲得額外分數，但僅限於其被計分的時候。這些分數將會在各比賽計分期間結束時失效。</w:t>
          </w:r>
        </w:sdtContent>
      </w:sdt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283" w:hanging="283"/>
        <w:rPr/>
      </w:pPr>
      <w:sdt>
        <w:sdtPr>
          <w:tag w:val="goog_rdk_1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2016 年三月吉隆坡執委會會議結束決議，</w:t>
          </w:r>
        </w:sdtContent>
      </w:sdt>
      <w:sdt>
        <w:sdtPr>
          <w:tag w:val="goog_rdk_2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rtl w:val="0"/>
            </w:rPr>
            <w:t xml:space="preserve">不同級別選手對賽時將採用特殊計分</w:t>
          </w:r>
        </w:sdtContent>
      </w:sdt>
      <w:sdt>
        <w:sdtPr>
          <w:tag w:val="goog_rdk_2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1"/>
              <w:rtl w:val="0"/>
            </w:rPr>
            <w:t xml:space="preserve">。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0" w:lineRule="auto"/>
        <w:ind w:left="437"/>
        <w:rPr/>
      </w:pPr>
      <w:sdt>
        <w:sdtPr>
          <w:tag w:val="goog_rdk_2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a) 個人項目</w:t>
          </w:r>
        </w:sdtContent>
      </w:sdt>
    </w:p>
    <w:p w:rsidR="00000000" w:rsidDel="00000000" w:rsidP="00000000" w:rsidRDefault="00000000" w:rsidRPr="00000000" w14:paraId="0000002D">
      <w:pPr>
        <w:spacing w:after="0" w:lineRule="auto"/>
        <w:ind w:left="437"/>
        <w:rPr/>
      </w:pPr>
      <w:sdt>
        <w:sdtPr>
          <w:tag w:val="goog_rdk_2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因合併級別導致需要至較高級別競賽之選手，若因敗給級別較高選手將失掉積分分數如下：</w:t>
          </w:r>
        </w:sdtContent>
      </w:sdt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after="0" w:lineRule="auto"/>
        <w:ind w:left="720" w:hanging="360"/>
        <w:rPr>
          <w:u w:val="none"/>
        </w:rPr>
      </w:pPr>
      <w:sdt>
        <w:sdtPr>
          <w:tag w:val="goog_rdk_2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一級差異 - 80%</w:t>
          </w:r>
        </w:sdtContent>
      </w:sdt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after="0" w:lineRule="auto"/>
        <w:ind w:left="720" w:hanging="360"/>
        <w:rPr>
          <w:u w:val="none"/>
        </w:rPr>
      </w:pPr>
      <w:sdt>
        <w:sdtPr>
          <w:tag w:val="goog_rdk_2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二級差異 - 60%</w:t>
          </w:r>
        </w:sdtContent>
      </w:sdt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after="0" w:lineRule="auto"/>
        <w:ind w:left="720" w:hanging="360"/>
        <w:rPr>
          <w:u w:val="none"/>
        </w:rPr>
      </w:pPr>
      <w:sdt>
        <w:sdtPr>
          <w:tag w:val="goog_rdk_2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三級差異 - 40%  </w:t>
          </w:r>
        </w:sdtContent>
      </w:sdt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after="0" w:lineRule="auto"/>
        <w:ind w:left="720" w:hanging="360"/>
        <w:rPr>
          <w:u w:val="none"/>
        </w:rPr>
      </w:pPr>
      <w:sdt>
        <w:sdtPr>
          <w:tag w:val="goog_rdk_2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四級差異 - 20% </w:t>
          </w:r>
        </w:sdtContent>
      </w:sdt>
    </w:p>
    <w:p w:rsidR="00000000" w:rsidDel="00000000" w:rsidP="00000000" w:rsidRDefault="00000000" w:rsidRPr="00000000" w14:paraId="00000032">
      <w:pPr>
        <w:spacing w:after="0" w:line="240" w:lineRule="auto"/>
        <w:ind w:left="0" w:firstLine="0"/>
        <w:rPr/>
      </w:pPr>
      <w:sdt>
        <w:sdtPr>
          <w:tag w:val="goog_rdk_2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b) 團體項目</w:t>
          </w:r>
        </w:sdtContent>
      </w:sdt>
    </w:p>
    <w:p w:rsidR="00000000" w:rsidDel="00000000" w:rsidP="00000000" w:rsidRDefault="00000000" w:rsidRPr="00000000" w14:paraId="00000033">
      <w:pPr>
        <w:spacing w:after="0" w:lineRule="auto"/>
        <w:ind w:left="437"/>
        <w:rPr/>
      </w:pPr>
      <w:sdt>
        <w:sdtPr>
          <w:tag w:val="goog_rdk_2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因合併級別而需與較高級別對手團體競賽時，若敗給級別較高選手將失掉積分分數如下：</w:t>
          </w:r>
        </w:sdtContent>
      </w:sdt>
    </w:p>
    <w:p w:rsidR="00000000" w:rsidDel="00000000" w:rsidP="00000000" w:rsidRDefault="00000000" w:rsidRPr="00000000" w14:paraId="00000034">
      <w:pPr>
        <w:numPr>
          <w:ilvl w:val="1"/>
          <w:numId w:val="3"/>
        </w:numPr>
        <w:spacing w:after="10" w:lineRule="auto"/>
        <w:ind w:left="720" w:hanging="293"/>
        <w:rPr/>
      </w:pPr>
      <w:sdt>
        <w:sdtPr>
          <w:tag w:val="goog_rdk_3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一個級別 - 80%</w:t>
          </w:r>
        </w:sdtContent>
      </w:sdt>
    </w:p>
    <w:p w:rsidR="00000000" w:rsidDel="00000000" w:rsidP="00000000" w:rsidRDefault="00000000" w:rsidRPr="00000000" w14:paraId="00000035">
      <w:pPr>
        <w:numPr>
          <w:ilvl w:val="1"/>
          <w:numId w:val="3"/>
        </w:numPr>
        <w:spacing w:after="10" w:lineRule="auto"/>
        <w:ind w:left="720" w:hanging="293"/>
        <w:rPr/>
      </w:pPr>
      <w:sdt>
        <w:sdtPr>
          <w:tag w:val="goog_rdk_3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兩個級別 - 60%</w:t>
          </w:r>
        </w:sdtContent>
      </w:sdt>
    </w:p>
    <w:p w:rsidR="00000000" w:rsidDel="00000000" w:rsidP="00000000" w:rsidRDefault="00000000" w:rsidRPr="00000000" w14:paraId="00000036">
      <w:pPr>
        <w:numPr>
          <w:ilvl w:val="1"/>
          <w:numId w:val="3"/>
        </w:numPr>
        <w:ind w:left="720" w:hanging="293"/>
        <w:rPr/>
      </w:pPr>
      <w:sdt>
        <w:sdtPr>
          <w:tag w:val="goog_rdk_3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三個級別 - 40%  </w:t>
          </w:r>
        </w:sdtContent>
      </w:sdt>
    </w:p>
    <w:p w:rsidR="00000000" w:rsidDel="00000000" w:rsidP="00000000" w:rsidRDefault="00000000" w:rsidRPr="00000000" w14:paraId="00000037">
      <w:pPr>
        <w:numPr>
          <w:ilvl w:val="1"/>
          <w:numId w:val="3"/>
        </w:numPr>
        <w:ind w:left="720" w:hanging="293"/>
        <w:rPr/>
      </w:pPr>
      <w:sdt>
        <w:sdtPr>
          <w:tag w:val="goog_rdk_3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四個級別 - 20%</w:t>
          </w:r>
        </w:sdtContent>
      </w:sdt>
    </w:p>
    <w:p w:rsidR="00000000" w:rsidDel="00000000" w:rsidP="00000000" w:rsidRDefault="00000000" w:rsidRPr="00000000" w14:paraId="00000038">
      <w:pPr>
        <w:ind w:left="437"/>
        <w:rPr/>
      </w:pPr>
      <w:sdt>
        <w:sdtPr>
          <w:tag w:val="goog_rdk_3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積分將四捨五入至整數。</w:t>
          </w:r>
        </w:sdtContent>
      </w:sdt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283" w:hanging="283"/>
        <w:rPr/>
      </w:pPr>
      <w:sdt>
        <w:sdtPr>
          <w:tag w:val="goog_rdk_3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新/無積分選手一旦和已有積分之選手有了足夠的比賽成績後，將被給予一個接近其本身能力的初步計分（IR）。此積分將在新的比賽結果得出後評估調整。欲取得 IR，新/無積分選手必須在與有積分選手競賽中取得兩場勝利。</w:t>
          </w:r>
        </w:sdtContent>
      </w:sdt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317" w:lineRule="auto"/>
        <w:ind w:left="283" w:hanging="283"/>
        <w:rPr/>
      </w:pPr>
      <w:sdt>
        <w:sdtPr>
          <w:tag w:val="goog_rdk_3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一年（連續 365 天）未參與任何比賽之選手，其積分將在</w:t>
          </w:r>
        </w:sdtContent>
      </w:sdt>
      <w:sdt>
        <w:sdtPr>
          <w:tag w:val="goog_rdk_3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vertAlign w:val="superscript"/>
              <w:rtl w:val="0"/>
            </w:rPr>
            <w:t xml:space="preserve">第 366 天起</w:t>
          </w:r>
        </w:sdtContent>
      </w:sdt>
      <w:sdt>
        <w:sdtPr>
          <w:tag w:val="goog_rdk_3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 減去 5%。</w:t>
          </w:r>
        </w:sdtContent>
      </w:sdt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283" w:hanging="283"/>
        <w:rPr/>
      </w:pPr>
      <w:sdt>
        <w:sdtPr>
          <w:tag w:val="goog_rdk_3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選手留在積分表上的時間為其最後一次合乎積分制度比賽起的 12 個月內。不在積分表上的選手（由於未參加比賽），其積分得保留，但若持續不活躍參賽，積分將連年減去 5%。 </w:t>
          </w:r>
        </w:sdtContent>
      </w:sdt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after="237" w:lineRule="auto"/>
        <w:ind w:left="283" w:hanging="283"/>
        <w:rPr/>
      </w:pPr>
      <w:sdt>
        <w:sdtPr>
          <w:tag w:val="goog_rdk_4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連續四年不活躍的選手將被視為新/無積分選手。</w:t>
          </w:r>
        </w:sdtContent>
      </w:sdt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after="229" w:lineRule="auto"/>
        <w:ind w:left="283" w:hanging="283"/>
        <w:rPr/>
      </w:pPr>
      <w:sdt>
        <w:sdtPr>
          <w:tag w:val="goog_rdk_4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自 2016 年 10 月 1 日里約帕拉運動會結束後，</w:t>
          </w:r>
        </w:sdtContent>
      </w:sdt>
      <w:sdt>
        <w:sdtPr>
          <w:tag w:val="goog_rdk_4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1"/>
              <w:rtl w:val="0"/>
            </w:rPr>
            <w:t xml:space="preserve">缺席處罰開始生效。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293"/>
        <w:rPr/>
      </w:pPr>
      <w:sdt>
        <w:sdtPr>
          <w:tag w:val="goog_rdk_4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當選手因抽籤而需參賽卻缺席，不論任何理由，亦不論是否有醫療證明，只要每次競賽缺席任一項目，選手將被扣除 35 分（flat 35 penalty points）。35 分罰分自施行日起有效 15 個月。</w:t>
          </w:r>
        </w:sdtContent>
      </w:sdt>
    </w:p>
    <w:p w:rsidR="00000000" w:rsidDel="00000000" w:rsidP="00000000" w:rsidRDefault="00000000" w:rsidRPr="00000000" w14:paraId="0000003F">
      <w:pPr>
        <w:spacing w:after="2474" w:lineRule="auto"/>
        <w:ind w:left="-5"/>
        <w:rPr/>
      </w:pPr>
      <w:sdt>
        <w:sdtPr>
          <w:tag w:val="goog_rdk_4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每日曆年末，直線壓縮演算法（straight-line compression algorithm）將套用至所有選手的積分計算，以增加計分系統的波動性。</w:t>
          </w:r>
        </w:sdtContent>
      </w:sdt>
    </w:p>
    <w:p w:rsidR="00000000" w:rsidDel="00000000" w:rsidP="00000000" w:rsidRDefault="00000000" w:rsidRPr="00000000" w14:paraId="00000040">
      <w:pPr>
        <w:spacing w:after="10" w:lineRule="auto"/>
        <w:ind w:left="-5"/>
        <w:rPr/>
      </w:pPr>
      <w:r w:rsidDel="00000000" w:rsidR="00000000" w:rsidRPr="00000000">
        <w:rPr>
          <w:rtl w:val="0"/>
        </w:rPr>
        <w:t xml:space="preserve">Pablo Pérez</w:t>
      </w:r>
    </w:p>
    <w:p w:rsidR="00000000" w:rsidDel="00000000" w:rsidP="00000000" w:rsidRDefault="00000000" w:rsidRPr="00000000" w14:paraId="00000041">
      <w:pPr>
        <w:ind w:left="-5"/>
        <w:rPr/>
      </w:pPr>
      <w:sdt>
        <w:sdtPr>
          <w:tag w:val="goog_rdk_4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ITTF 帕拉桌球經理</w:t>
          </w:r>
        </w:sdtContent>
      </w:sdt>
    </w:p>
    <w:sectPr>
      <w:pgSz w:h="16841" w:w="11906"/>
      <w:pgMar w:bottom="1184" w:top="561" w:left="852" w:right="56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Unicode MS"/>
  <w:font w:name="Courier New"/>
  <w:font w:name="Quattrocento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283" w:hanging="283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•"/>
      <w:lvlJc w:val="left"/>
      <w:pPr>
        <w:ind w:left="360" w:hanging="36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bullet"/>
      <w:lvlText w:val="-"/>
      <w:lvlJc w:val="left"/>
      <w:pPr>
        <w:ind w:left="720" w:hanging="72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507" w:hanging="1507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227" w:hanging="2227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2947" w:hanging="2947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667" w:hanging="3667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387" w:hanging="4387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107" w:hanging="5107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5827" w:hanging="5827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>
        <w:spacing w:after="270" w:line="250" w:lineRule="auto"/>
        <w:ind w:left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spacing w:after="270" w:line="250" w:lineRule="auto"/>
      <w:ind w:left="10" w:hanging="10"/>
      <w:jc w:val="both"/>
    </w:pPr>
    <w:rPr>
      <w:rFonts w:ascii="Arial" w:cs="Arial" w:eastAsia="Arial" w:hAnsi="Arial"/>
      <w:color w:val="00000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Grid" w:customStyle="1">
    <w:name w:val="TableGrid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header"/>
    <w:basedOn w:val="a"/>
    <w:link w:val="a4"/>
    <w:uiPriority w:val="99"/>
    <w:unhideWhenUsed w:val="1"/>
    <w:rsid w:val="00C00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 w:customStyle="1">
    <w:name w:val="頁首 字元"/>
    <w:basedOn w:val="a0"/>
    <w:link w:val="a3"/>
    <w:uiPriority w:val="99"/>
    <w:rsid w:val="00C00421"/>
    <w:rPr>
      <w:rFonts w:ascii="Arial" w:cs="Arial" w:eastAsia="Arial" w:hAnsi="Arial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 w:val="1"/>
    <w:rsid w:val="00C00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 w:customStyle="1">
    <w:name w:val="頁尾 字元"/>
    <w:basedOn w:val="a0"/>
    <w:link w:val="a5"/>
    <w:uiPriority w:val="99"/>
    <w:rsid w:val="00C00421"/>
    <w:rPr>
      <w:rFonts w:ascii="Arial" w:cs="Arial" w:eastAsia="Arial" w:hAnsi="Arial"/>
      <w:color w:val="000000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9.0" w:type="dxa"/>
        <w:bottom w:w="0.0" w:type="dxa"/>
        <w:right w:w="71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4qIVOiQ2IN5/cFc3c5JyCrTHRA==">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2019-08-07T05:51:00Z</dcterms:created>
  <dc:creator>David R Jackson</dc:creator>
</cp:coreProperties>
</file>